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drawing>
          <wp:inline distT="0" distB="0" distL="114300" distR="114300">
            <wp:extent cx="731520" cy="1007745"/>
            <wp:effectExtent l="0" t="0" r="11430" b="1905"/>
            <wp:docPr id="1" name="Picture 1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G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</w:rPr>
        <w:br w:type="textWrapping"/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  <w:t>ΕΛΛΗΝΙΚΗ ΔΗΜΟΚΡΑΤΙΑ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  <w:t>ΝΟΜΟΣ ΘΕΣΣΑΛΟΝΙΚΗΣ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  <w:t>ΔΗΜΟΣ ΧΑΛΚΗΔΟΝΟΣ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l-GR"/>
        </w:rPr>
        <w:t>ΓΡΑΦΕΙΟ ΔΗΜΑΡΧΟΥ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l-GR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  <w:t>Ταχ.Δ/νση.: Εθνικής Αντιστάσεως 36</w:t>
      </w:r>
    </w:p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  <w:t>Ταχ.Κώδικας: 57100</w:t>
      </w:r>
    </w:p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  <w:t>Τηλέφωνο:2391330101-102</w:t>
      </w:r>
    </w:p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/>
        </w:rPr>
        <w:t>Fax: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l-GR"/>
        </w:rPr>
        <w:t>2391330130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/>
        </w:rPr>
        <w:t>mail:gram.xalk@n3.syzefxis.gov.gr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l-GR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44"/>
          <w:szCs w:val="44"/>
          <w:u w:val="single"/>
          <w:lang w:val="el-GR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u w:val="single"/>
          <w:lang w:val="el-GR"/>
        </w:rPr>
        <w:t>ΑΝΑΚΟΙΝΩΣΗ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44"/>
          <w:szCs w:val="44"/>
          <w:u w:val="single"/>
          <w:lang w:val="el-GR"/>
        </w:rPr>
      </w:pPr>
    </w:p>
    <w:p>
      <w:pPr>
        <w:jc w:val="center"/>
        <w:rPr>
          <w:rFonts w:hint="default"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</w:rPr>
        <w:t xml:space="preserve">Ανακοίνωση Αποτελεσμάτων Κλήρωσης 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</w:rPr>
        <w:t>για Επιλογή δύο (2) Ασκούμενων Δικηγόρων</w:t>
      </w:r>
    </w:p>
    <w:p>
      <w:pPr>
        <w:jc w:val="both"/>
        <w:rPr>
          <w:rFonts w:hint="default" w:ascii="Tahoma" w:hAnsi="Tahoma" w:cs="Tahoma"/>
          <w:sz w:val="24"/>
          <w:szCs w:val="24"/>
        </w:rPr>
      </w:pPr>
    </w:p>
    <w:p>
      <w:pPr>
        <w:jc w:val="left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Ανακοινώνεται ότι στις 27.10.2020</w:t>
      </w:r>
      <w:r>
        <w:rPr>
          <w:rFonts w:hint="default" w:ascii="Tahoma" w:hAnsi="Tahoma" w:cs="Tahoma"/>
          <w:sz w:val="24"/>
          <w:szCs w:val="24"/>
          <w:lang w:val="el-GR"/>
        </w:rPr>
        <w:t>,</w:t>
      </w:r>
      <w:r>
        <w:rPr>
          <w:rFonts w:hint="default"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hint="default" w:ascii="Tahoma" w:hAnsi="Tahoma" w:cs="Tahoma"/>
          <w:sz w:val="24"/>
          <w:szCs w:val="24"/>
        </w:rPr>
        <w:t>ημέρα Τρίτη και ώρα 11.00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 </w:t>
      </w:r>
      <w:r>
        <w:rPr>
          <w:rFonts w:hint="default" w:ascii="Tahoma" w:hAnsi="Tahoma" w:cs="Tahoma"/>
          <w:sz w:val="24"/>
          <w:szCs w:val="24"/>
        </w:rPr>
        <w:t>π.μ. διενεργήθηκε στο Δημαρχείο Δήμου Χαλκηδόνος, στην έδρα του Δήμου στα Κουφάλια</w:t>
      </w:r>
      <w:r>
        <w:rPr>
          <w:rFonts w:hint="default" w:ascii="Tahoma" w:hAnsi="Tahoma" w:cs="Tahoma"/>
          <w:sz w:val="24"/>
          <w:szCs w:val="24"/>
          <w:lang w:val="el-GR"/>
        </w:rPr>
        <w:t>,</w:t>
      </w:r>
      <w:r>
        <w:rPr>
          <w:rFonts w:hint="default" w:ascii="Tahoma" w:hAnsi="Tahoma" w:cs="Tahoma"/>
          <w:sz w:val="24"/>
          <w:szCs w:val="24"/>
        </w:rPr>
        <w:t xml:space="preserve"> κλήρωση, για την επιλογή των (2) δύο υποψήφιων ασκούμενων δικηγόρων, που θα πραγματοποιήσουν μέρος της άσκησης τους στην Νομική Υπηρεσία του Δήμου Χαλκηδόνος σύμφωνα με την υπ΄αριθ. πρωτ. 14776/ 15/10/2020 </w:t>
      </w:r>
      <w:r>
        <w:rPr>
          <w:rFonts w:hint="default" w:ascii="Tahoma" w:hAnsi="Tahoma" w:cs="Tahoma"/>
          <w:sz w:val="24"/>
          <w:szCs w:val="24"/>
          <w:lang w:val="el-GR"/>
        </w:rPr>
        <w:t>“</w:t>
      </w:r>
      <w:r>
        <w:rPr>
          <w:rFonts w:hint="default" w:ascii="Tahoma" w:hAnsi="Tahoma" w:cs="Tahoma"/>
          <w:sz w:val="24"/>
          <w:szCs w:val="24"/>
        </w:rPr>
        <w:t>Πρόσκληση υποβολής αιτήσεων για την άσκηση υποψήφιων δικηγόρων στο Δήμο Χαλκηδόνος</w:t>
      </w:r>
      <w:r>
        <w:rPr>
          <w:rFonts w:hint="default" w:ascii="Tahoma" w:hAnsi="Tahoma" w:cs="Tahoma"/>
          <w:sz w:val="24"/>
          <w:szCs w:val="24"/>
          <w:lang w:val="el-GR"/>
        </w:rPr>
        <w:t>”</w:t>
      </w:r>
      <w:r>
        <w:rPr>
          <w:rFonts w:hint="default" w:ascii="Tahoma" w:hAnsi="Tahoma" w:cs="Tahoma"/>
          <w:sz w:val="24"/>
          <w:szCs w:val="24"/>
        </w:rPr>
        <w:t>.</w:t>
      </w:r>
    </w:p>
    <w:p>
      <w:pPr>
        <w:jc w:val="left"/>
        <w:rPr>
          <w:rFonts w:hint="default" w:ascii="Tahoma" w:hAnsi="Tahoma" w:cs="Tahoma"/>
          <w:sz w:val="24"/>
          <w:szCs w:val="24"/>
        </w:rPr>
      </w:pPr>
    </w:p>
    <w:p>
      <w:pPr>
        <w:jc w:val="left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 xml:space="preserve">Τα ονόματα των επιλεγέντων (2) δύο ασκούμενων δικηγόρων, κατόπιν της κλήρωσης έχουν </w:t>
      </w:r>
      <w:r>
        <w:rPr>
          <w:rFonts w:hint="default" w:ascii="Tahoma" w:hAnsi="Tahoma" w:cs="Tahoma"/>
          <w:sz w:val="24"/>
          <w:szCs w:val="24"/>
          <w:lang w:val="el-GR"/>
        </w:rPr>
        <w:t>ω</w:t>
      </w:r>
      <w:r>
        <w:rPr>
          <w:rFonts w:hint="default" w:ascii="Tahoma" w:hAnsi="Tahoma" w:cs="Tahoma"/>
          <w:sz w:val="24"/>
          <w:szCs w:val="24"/>
        </w:rPr>
        <w:t xml:space="preserve">ς  εξής: </w:t>
      </w:r>
    </w:p>
    <w:p>
      <w:pPr>
        <w:jc w:val="left"/>
        <w:rPr>
          <w:rFonts w:hint="default"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 xml:space="preserve">Ναταλία Λευκή Κουλιάτσα του </w:t>
      </w:r>
      <w:r>
        <w:rPr>
          <w:rFonts w:hint="default" w:ascii="Tahoma" w:hAnsi="Tahoma" w:cs="Tahoma"/>
          <w:sz w:val="24"/>
          <w:szCs w:val="24"/>
          <w:lang w:val="el-GR"/>
        </w:rPr>
        <w:t>Θ</w:t>
      </w:r>
      <w:r>
        <w:rPr>
          <w:rFonts w:hint="default" w:ascii="Tahoma" w:hAnsi="Tahoma" w:cs="Tahoma"/>
          <w:sz w:val="24"/>
          <w:szCs w:val="24"/>
        </w:rPr>
        <w:t xml:space="preserve">εοδοσίου 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Ειρήνη Μπαλιάση του Ιωάννη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A1"/>
    <w:family w:val="swiss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68E1A"/>
    <w:multiLevelType w:val="singleLevel"/>
    <w:tmpl w:val="BEF68E1A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D9067387"/>
    <w:multiLevelType w:val="singleLevel"/>
    <w:tmpl w:val="D906738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80133"/>
    <w:rsid w:val="12965AAD"/>
    <w:rsid w:val="1E787284"/>
    <w:rsid w:val="267B549A"/>
    <w:rsid w:val="54280133"/>
    <w:rsid w:val="64063B69"/>
    <w:rsid w:val="69ED5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2020-09-24T09:13:00Z</dcterms:created>
  <dc:creator>user</dc:creator>
  <cp:lastModifiedBy>user</cp:lastModifiedBy>
  <dcterms:modified xsi:type="dcterms:W3CDTF">2020-10-27T12:38:42Z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